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13" w:rsidRDefault="004A6A13" w:rsidP="004A6A13">
      <w:pPr>
        <w:autoSpaceDE w:val="0"/>
        <w:autoSpaceDN w:val="0"/>
        <w:bidi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>
            <wp:extent cx="35242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4A6A13" w:rsidRDefault="004A6A13" w:rsidP="004A6A13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rPr>
          <w:rFonts w:ascii="Cambria" w:hAnsi="Cambria" w:cs="Times New Roman" w:hint="cs"/>
          <w:b/>
          <w:bCs/>
          <w:color w:val="04617B"/>
          <w:sz w:val="20"/>
          <w:szCs w:val="20"/>
        </w:rPr>
      </w:pPr>
      <w:r>
        <w:rPr>
          <w:rFonts w:ascii="Times New Roman" w:hAnsi="Times New Roman" w:cs="B Nazanin"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-1600200</wp:posOffset>
                </wp:positionH>
                <wp:positionV relativeFrom="paragraph">
                  <wp:posOffset>556260</wp:posOffset>
                </wp:positionV>
                <wp:extent cx="8943975" cy="45720"/>
                <wp:effectExtent l="0" t="0" r="0" b="11430"/>
                <wp:wrapNone/>
                <wp:docPr id="6" name="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7805" id="Minus 6" o:spid="_x0000_s1026" style="position:absolute;margin-left:-126pt;margin-top:43.8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4A6A13" w:rsidRDefault="004A6A13" w:rsidP="004A6A13">
      <w:pPr>
        <w:autoSpaceDE w:val="0"/>
        <w:autoSpaceDN w:val="0"/>
        <w:bidi/>
        <w:adjustRightInd w:val="0"/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</w:pPr>
    </w:p>
    <w:p w:rsidR="004A6A13" w:rsidRDefault="004A6A13" w:rsidP="004A6A13">
      <w:pPr>
        <w:autoSpaceDE w:val="0"/>
        <w:autoSpaceDN w:val="0"/>
        <w:bidi/>
        <w:adjustRightInd w:val="0"/>
        <w:rPr>
          <w:rFonts w:ascii="Times New Roman" w:hAnsi="Times New Roman" w:cs="B Titr" w:hint="cs"/>
          <w:b/>
          <w:bCs/>
          <w:color w:val="000000"/>
          <w:sz w:val="20"/>
          <w:szCs w:val="20"/>
          <w:rtl/>
        </w:rPr>
      </w:pPr>
      <w:r>
        <w:rPr>
          <w:rFonts w:ascii="Times New Roman" w:hAnsi="Times New Roman" w:cs="B Nazanin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-1581150</wp:posOffset>
                </wp:positionH>
                <wp:positionV relativeFrom="paragraph">
                  <wp:posOffset>231140</wp:posOffset>
                </wp:positionV>
                <wp:extent cx="8943975" cy="45720"/>
                <wp:effectExtent l="0" t="0" r="0" b="11430"/>
                <wp:wrapNone/>
                <wp:docPr id="3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82E8" id="Minus 3" o:spid="_x0000_s1026" style="position:absolute;margin-left:-124.5pt;margin-top:18.2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 xml:space="preserve">مدیریت </w:t>
      </w:r>
      <w:r>
        <w:rPr>
          <w:rFonts w:cs="B Titr" w:hint="cs"/>
          <w:b/>
          <w:bCs/>
          <w:color w:val="000000"/>
          <w:sz w:val="20"/>
          <w:szCs w:val="20"/>
          <w:rtl/>
        </w:rPr>
        <w:t>قراردادها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بررسی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تغییر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مقادير،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تمديد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زمان،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تغییر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مفاد،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خدمات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اضافی،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خدمات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جنبی،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فسخ،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خاتمه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تعلیق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قراردادها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بررسی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اظهار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خصوص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تقاضای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پرداخت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خسارت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پیمانکار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Zar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بررسی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تايید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برخی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از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صورت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وضعیت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های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پیمانکاران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)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صورت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وضعیت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قطعی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صورت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وضعیت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هايی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در</w:t>
      </w:r>
      <w:r w:rsid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دستورالعمل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مربوط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تعیین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شده</w:t>
      </w:r>
      <w:r w:rsidRPr="000027A8">
        <w:rPr>
          <w:rFonts w:ascii="B Zar" w:hAnsi="B Nazanin,Bold" w:cs="B Mitra"/>
          <w:color w:val="000000"/>
          <w:sz w:val="28"/>
          <w:szCs w:val="28"/>
        </w:rPr>
        <w:t>(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اعمال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حکمیت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خصوص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موارد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اختلاف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پیمانکاران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مشاوران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يا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ادعاهای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خاص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پیمانکاران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Zar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کمیسیون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های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تحويل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)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تحويل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زمین،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تحويل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کالا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تجهیزات،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تحويل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موقت،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تحويل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قطعی</w:t>
      </w:r>
      <w:r w:rsidRPr="000027A8">
        <w:rPr>
          <w:rFonts w:ascii="B Zar" w:hAnsi="B Nazanin,Bold" w:cs="B Mitra"/>
          <w:color w:val="000000"/>
          <w:sz w:val="28"/>
          <w:szCs w:val="28"/>
        </w:rPr>
        <w:t>(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کمیسیون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طبقه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بندی خاک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کمیسیون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تراز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آب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زيرزمینی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ساير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کمیسیون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ها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حسب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لزوم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عنوان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نماينده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دفتر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قراردادها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هدايت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راهبری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فرآيند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برگزاری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مناقصات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تنظیم،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عقد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ابلاغ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قرارداد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با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تامین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کنندگان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کالا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خدمات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انجام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پیگیری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های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مربوط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Zar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بررسی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تعیین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لزوم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ارجاع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کار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بصورت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ترک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تشريفات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مناقصه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اخذ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تائید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مدير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عامل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مصوبه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هیات</w:t>
      </w:r>
      <w:r w:rsid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سه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نفره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بررسی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تايید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پیمانکاران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مشاوران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پیشنهادی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برای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واگذاری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کار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بصورت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ترک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تشريفات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برآورد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انجام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کار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همچنین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برآورد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مالی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گزارش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های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مطالعاتی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مرحله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اول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دوم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نیز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اسناد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مناقصه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پروژه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ها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مشارکت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بررسی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توانايی،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امکانات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ظرفیت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کاری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پیمانکاران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مشاورين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حائز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کمترين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قیمت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پیشنهادی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مناقصات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ايجاد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بهنگام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نگاهداشتن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سیستم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مکانیزه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کلیه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اطلاعات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لازم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از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قراردادها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پیمانهای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دست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اجراء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بررسی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تايید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صورت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وضعیت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تعديل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نهايی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پیمانکاران</w:t>
      </w:r>
    </w:p>
    <w:p w:rsidR="0004649F" w:rsidRPr="000027A8" w:rsidRDefault="0004649F" w:rsidP="004A6A13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360" w:hanging="356"/>
        <w:rPr>
          <w:rFonts w:ascii="B Nazanin,Bold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تهیه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فهرست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بلند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از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مشاورين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حايز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صلاحیت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جهت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انجام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استعلام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قیمت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</w:p>
    <w:p w:rsidR="007662D0" w:rsidRPr="000027A8" w:rsidRDefault="0004649F" w:rsidP="004A6A13">
      <w:pPr>
        <w:pStyle w:val="ListParagraph"/>
        <w:numPr>
          <w:ilvl w:val="0"/>
          <w:numId w:val="5"/>
        </w:numPr>
        <w:bidi/>
        <w:spacing w:line="276" w:lineRule="auto"/>
        <w:ind w:left="360" w:hanging="356"/>
        <w:rPr>
          <w:rFonts w:ascii="B Zar" w:hAnsi="B Nazanin,Bold" w:cs="B Mitra"/>
          <w:color w:val="000000"/>
          <w:sz w:val="28"/>
          <w:szCs w:val="28"/>
        </w:rPr>
      </w:pP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نظارت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بر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تدوين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تعیین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معبارهای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ارزيابی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کیفی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و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فنی</w:t>
      </w:r>
      <w:r w:rsidRPr="000027A8">
        <w:rPr>
          <w:rFonts w:ascii="B Zar" w:hAnsi="B Nazanin,Bold" w:cs="B Mitra"/>
          <w:color w:val="000000"/>
          <w:sz w:val="28"/>
          <w:szCs w:val="28"/>
        </w:rPr>
        <w:t xml:space="preserve"> </w:t>
      </w:r>
      <w:r w:rsidRPr="000027A8">
        <w:rPr>
          <w:rFonts w:ascii="B Zar" w:hAnsi="B Nazanin,Bold" w:cs="B Mitra" w:hint="cs"/>
          <w:color w:val="000000"/>
          <w:sz w:val="28"/>
          <w:szCs w:val="28"/>
          <w:rtl/>
        </w:rPr>
        <w:t>مشاورين</w:t>
      </w:r>
    </w:p>
    <w:p w:rsidR="000027A8" w:rsidRPr="000027A8" w:rsidRDefault="000027A8" w:rsidP="000027A8">
      <w:pPr>
        <w:autoSpaceDE w:val="0"/>
        <w:autoSpaceDN w:val="0"/>
        <w:bidi/>
        <w:adjustRightInd w:val="0"/>
        <w:spacing w:after="0" w:line="276" w:lineRule="auto"/>
        <w:ind w:left="571" w:hanging="567"/>
        <w:rPr>
          <w:rFonts w:ascii="B Zar" w:hAnsi="B Nazanin,Bold" w:cs="B Mitra"/>
          <w:color w:val="000000"/>
          <w:sz w:val="28"/>
          <w:szCs w:val="28"/>
        </w:rPr>
      </w:pPr>
      <w:bookmarkStart w:id="0" w:name="_GoBack"/>
      <w:bookmarkEnd w:id="0"/>
    </w:p>
    <w:sectPr w:rsidR="000027A8" w:rsidRPr="000027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41" w:rsidRDefault="00FF0441" w:rsidP="000027A8">
      <w:pPr>
        <w:spacing w:after="0" w:line="240" w:lineRule="auto"/>
      </w:pPr>
      <w:r>
        <w:separator/>
      </w:r>
    </w:p>
  </w:endnote>
  <w:endnote w:type="continuationSeparator" w:id="0">
    <w:p w:rsidR="00FF0441" w:rsidRDefault="00FF0441" w:rsidP="0000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41" w:rsidRDefault="00FF0441" w:rsidP="000027A8">
      <w:pPr>
        <w:spacing w:after="0" w:line="240" w:lineRule="auto"/>
      </w:pPr>
      <w:r>
        <w:separator/>
      </w:r>
    </w:p>
  </w:footnote>
  <w:footnote w:type="continuationSeparator" w:id="0">
    <w:p w:rsidR="00FF0441" w:rsidRDefault="00FF0441" w:rsidP="0000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A8" w:rsidRPr="002F43A3" w:rsidRDefault="000027A8" w:rsidP="002F43A3">
    <w:pPr>
      <w:autoSpaceDE w:val="0"/>
      <w:autoSpaceDN w:val="0"/>
      <w:bidi/>
      <w:adjustRightInd w:val="0"/>
      <w:spacing w:after="0" w:line="240" w:lineRule="auto"/>
      <w:rPr>
        <w:rFonts w:ascii="B Zar,Bold" w:hAnsi="B Nazanin,Bold" w:cs="B Titr"/>
        <w:b/>
        <w:bCs/>
        <w:color w:val="2F369A"/>
        <w:sz w:val="18"/>
        <w:szCs w:val="18"/>
      </w:rPr>
    </w:pPr>
    <w:r>
      <w:rPr>
        <w:rFonts w:ascii="B Zar,Bold" w:hAnsi="B Nazanin,Bold" w:cs="B Titr" w:hint="cs"/>
        <w:b/>
        <w:bCs/>
        <w:color w:val="2F369A"/>
        <w:sz w:val="18"/>
        <w:szCs w:val="18"/>
        <w:rtl/>
      </w:rPr>
      <w:t xml:space="preserve">                  </w:t>
    </w:r>
    <w:r w:rsidR="002F43A3">
      <w:rPr>
        <w:rFonts w:ascii="B Zar,Bold" w:hAnsi="B Nazanin,Bold" w:cs="B Titr" w:hint="cs"/>
        <w:b/>
        <w:bCs/>
        <w:color w:val="2F369A"/>
        <w:sz w:val="18"/>
        <w:szCs w:val="18"/>
        <w:rtl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15C44"/>
    <w:multiLevelType w:val="hybridMultilevel"/>
    <w:tmpl w:val="BAC49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1D13"/>
    <w:multiLevelType w:val="hybridMultilevel"/>
    <w:tmpl w:val="22A0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6413C"/>
    <w:multiLevelType w:val="hybridMultilevel"/>
    <w:tmpl w:val="D71CF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80447"/>
    <w:multiLevelType w:val="hybridMultilevel"/>
    <w:tmpl w:val="90F69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6259C"/>
    <w:multiLevelType w:val="hybridMultilevel"/>
    <w:tmpl w:val="35F21014"/>
    <w:lvl w:ilvl="0" w:tplc="5E100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F"/>
    <w:rsid w:val="000027A8"/>
    <w:rsid w:val="0004649F"/>
    <w:rsid w:val="002F43A3"/>
    <w:rsid w:val="004A6A13"/>
    <w:rsid w:val="006936F3"/>
    <w:rsid w:val="007662D0"/>
    <w:rsid w:val="00825CC0"/>
    <w:rsid w:val="00C06ED6"/>
    <w:rsid w:val="00D13273"/>
    <w:rsid w:val="00DA5D86"/>
    <w:rsid w:val="00ED3722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E444-0109-4799-BDA6-E298D204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A8"/>
  </w:style>
  <w:style w:type="paragraph" w:styleId="Footer">
    <w:name w:val="footer"/>
    <w:basedOn w:val="Normal"/>
    <w:link w:val="FooterChar"/>
    <w:uiPriority w:val="99"/>
    <w:unhideWhenUsed/>
    <w:rsid w:val="0000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AC3C-9FC4-42FC-AC2F-9BDE31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9</cp:revision>
  <dcterms:created xsi:type="dcterms:W3CDTF">2019-07-08T06:18:00Z</dcterms:created>
  <dcterms:modified xsi:type="dcterms:W3CDTF">2025-04-07T10:41:00Z</dcterms:modified>
</cp:coreProperties>
</file>